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D6" w:rsidRDefault="004D0FD6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4D0FD6" w:rsidRDefault="004D0FD6">
      <w:pPr>
        <w:pStyle w:val="ConsPlusTitle"/>
        <w:jc w:val="center"/>
      </w:pPr>
    </w:p>
    <w:p w:rsidR="004D0FD6" w:rsidRDefault="004D0FD6">
      <w:pPr>
        <w:pStyle w:val="ConsPlusTitle"/>
        <w:jc w:val="center"/>
      </w:pPr>
      <w:r>
        <w:t>ПОСТАНОВЛЕНИЕ</w:t>
      </w:r>
    </w:p>
    <w:p w:rsidR="004D0FD6" w:rsidRDefault="004D0FD6">
      <w:pPr>
        <w:pStyle w:val="ConsPlusTitle"/>
        <w:jc w:val="center"/>
      </w:pPr>
      <w:r>
        <w:t>от 20 мая 2022 г. N 916</w:t>
      </w:r>
    </w:p>
    <w:p w:rsidR="004D0FD6" w:rsidRDefault="004D0FD6">
      <w:pPr>
        <w:pStyle w:val="ConsPlusTitle"/>
        <w:jc w:val="center"/>
      </w:pPr>
    </w:p>
    <w:p w:rsidR="004D0FD6" w:rsidRDefault="004D0FD6">
      <w:pPr>
        <w:pStyle w:val="ConsPlusTitle"/>
        <w:jc w:val="center"/>
      </w:pPr>
      <w:r>
        <w:t>ОБ УТВЕРЖДЕНИИ ПЕРЕЧНЯ</w:t>
      </w:r>
    </w:p>
    <w:p w:rsidR="004D0FD6" w:rsidRDefault="004D0FD6">
      <w:pPr>
        <w:pStyle w:val="ConsPlusTitle"/>
        <w:jc w:val="center"/>
      </w:pPr>
      <w:r>
        <w:t>НЕИСПРАВНОСТЕЙ И УСЛОВИЙ, ПРИ КОТОРЫХ ЗАПРЕЩАЕТСЯ</w:t>
      </w:r>
    </w:p>
    <w:p w:rsidR="004D0FD6" w:rsidRDefault="004D0FD6">
      <w:pPr>
        <w:pStyle w:val="ConsPlusTitle"/>
        <w:jc w:val="center"/>
      </w:pPr>
      <w:r>
        <w:t>ЭКСПЛУАТАЦИЯ САМОХОДНЫХ МАШИН И ДРУГИХ ВИДОВ ТЕХНИКИ</w:t>
      </w: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7">
        <w:r>
          <w:rPr>
            <w:color w:val="0000FF"/>
          </w:rPr>
          <w:t>перечень</w:t>
        </w:r>
      </w:hyperlink>
      <w:r>
        <w:t xml:space="preserve"> неисправностей и условий, при которых запрещается эксплуатация самоходных машин и других видов техники.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2022 г. и действует до 1 сентября 2028 г.</w:t>
      </w: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jc w:val="right"/>
      </w:pPr>
      <w:r>
        <w:t>Председатель Правительства</w:t>
      </w:r>
    </w:p>
    <w:p w:rsidR="004D0FD6" w:rsidRDefault="004D0FD6">
      <w:pPr>
        <w:pStyle w:val="ConsPlusNormal"/>
        <w:jc w:val="right"/>
      </w:pPr>
      <w:r>
        <w:t>Российской Федерации</w:t>
      </w:r>
    </w:p>
    <w:p w:rsidR="004D0FD6" w:rsidRDefault="004D0FD6">
      <w:pPr>
        <w:pStyle w:val="ConsPlusNormal"/>
        <w:jc w:val="right"/>
      </w:pPr>
      <w:r>
        <w:t>М.МИШУСТИН</w:t>
      </w: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jc w:val="right"/>
        <w:outlineLvl w:val="0"/>
      </w:pPr>
      <w:r>
        <w:t>Утвержден</w:t>
      </w:r>
    </w:p>
    <w:p w:rsidR="004D0FD6" w:rsidRDefault="004D0FD6">
      <w:pPr>
        <w:pStyle w:val="ConsPlusNormal"/>
        <w:jc w:val="right"/>
      </w:pPr>
      <w:r>
        <w:t>постановлением Правительства</w:t>
      </w:r>
    </w:p>
    <w:p w:rsidR="004D0FD6" w:rsidRDefault="004D0FD6">
      <w:pPr>
        <w:pStyle w:val="ConsPlusNormal"/>
        <w:jc w:val="right"/>
      </w:pPr>
      <w:r>
        <w:t>Российской Федерации</w:t>
      </w:r>
    </w:p>
    <w:p w:rsidR="004D0FD6" w:rsidRDefault="004D0FD6">
      <w:pPr>
        <w:pStyle w:val="ConsPlusNormal"/>
        <w:jc w:val="right"/>
      </w:pPr>
      <w:r>
        <w:t>от 20 мая 2022 г. N 916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</w:pPr>
      <w:bookmarkStart w:id="1" w:name="P27"/>
      <w:bookmarkEnd w:id="1"/>
      <w:r>
        <w:t>ПЕРЕЧЕНЬ</w:t>
      </w:r>
    </w:p>
    <w:p w:rsidR="004D0FD6" w:rsidRDefault="004D0FD6">
      <w:pPr>
        <w:pStyle w:val="ConsPlusTitle"/>
        <w:jc w:val="center"/>
      </w:pPr>
      <w:r>
        <w:t>НЕИСПРАВНОСТЕЙ И УСЛОВИЙ, ПРИ КОТОРЫХ ЗАПРЕЩАЕТСЯ</w:t>
      </w:r>
    </w:p>
    <w:p w:rsidR="004D0FD6" w:rsidRDefault="004D0FD6">
      <w:pPr>
        <w:pStyle w:val="ConsPlusTitle"/>
        <w:jc w:val="center"/>
      </w:pPr>
      <w:r>
        <w:t>ЭКСПЛУАТАЦИЯ САМОХОДНЫХ МАШИН И ДРУГИХ ВИДОВ ТЕХНИКИ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  <w:outlineLvl w:val="1"/>
      </w:pPr>
      <w:r>
        <w:t>I. Тормозная система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Normal"/>
        <w:ind w:firstLine="540"/>
        <w:jc w:val="both"/>
      </w:pPr>
      <w:r>
        <w:t>1. Происходит утечка сжатого воздуха из соединений и элементов тормозной системы.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2. Наблюдается </w:t>
      </w:r>
      <w:proofErr w:type="spellStart"/>
      <w:r>
        <w:t>подтекание</w:t>
      </w:r>
      <w:proofErr w:type="spellEnd"/>
      <w:r>
        <w:t xml:space="preserve"> тормозной жидкости и (или) нарушение герметичности трубопроводов или соединений в гидравлическом тормозном приводе.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3. Нарушена работоспособность манометра пневматического или пневмогидравлического тормозных приводов и устройства фиксации органа управления стояночной тормозной системы.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4. Нарушена работоспособность средств сигнализации и контроля тормозных систем.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5. Неработоспособна стояночная тормозная система.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6. При торможении не обеспечивается прямолинейность движения (для снегоходов - более 1,2 м, для остальных видов техники - более 0,5 м).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7. Наблюдается набухание тормозных шлангов под давлением и (или) наличие видимых трещин, коррозии, мест перетирания на них.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  <w:outlineLvl w:val="1"/>
      </w:pPr>
      <w:r>
        <w:t>II. Рулевое управление</w:t>
      </w: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  <w:r>
        <w:t>8. Суммарный люфт в рулевом управлении превышает предельные значения: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для тракторов, включая </w:t>
      </w:r>
      <w:proofErr w:type="gramStart"/>
      <w:r>
        <w:t>малогабаритные</w:t>
      </w:r>
      <w:proofErr w:type="gramEnd"/>
      <w:r>
        <w:t>, и машин самоходных сельскохозяйственных - 25 градусов;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для снегоходов и </w:t>
      </w:r>
      <w:proofErr w:type="spellStart"/>
      <w:r>
        <w:t>снегоболотоходов</w:t>
      </w:r>
      <w:proofErr w:type="spellEnd"/>
      <w:r>
        <w:t xml:space="preserve"> - 15 градусов.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9. Резьбовые соединения не затянуты или не зафиксированы установленным способом. Неработоспособно устройство фиксации положения рулевой колонки.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10. Неисправен или отсутствует предусмотренный конструкцией самоходной машины усилитель рулевого управления.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11. Увеличен свободный ход рукояток рычагов или штурвалов управления муфтами поворота - для самоходных машин на гусеничном ходу.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  <w:outlineLvl w:val="1"/>
      </w:pPr>
      <w:r>
        <w:t>III. Внешние световые приборы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Normal"/>
        <w:ind w:firstLine="540"/>
        <w:jc w:val="both"/>
      </w:pPr>
      <w:r>
        <w:t>12. При воздействии на органы управления рабочей и аварийной тормозных систем не включаются в постоянном режиме сигналы торможения (основные и дополнительные).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13. На световых приборах отсутствуют </w:t>
      </w:r>
      <w:proofErr w:type="spellStart"/>
      <w:r>
        <w:t>рассеиватели</w:t>
      </w:r>
      <w:proofErr w:type="spellEnd"/>
      <w:r>
        <w:t xml:space="preserve"> либо используются </w:t>
      </w:r>
      <w:proofErr w:type="spellStart"/>
      <w:r>
        <w:t>рассеиватели</w:t>
      </w:r>
      <w:proofErr w:type="spellEnd"/>
      <w:r>
        <w:t xml:space="preserve"> и лампы, не соответствующие типу данного светового прибора.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Спереди установлены световые приборы с огнями любого цвета, кроме белого, желтого или оранжевого, и </w:t>
      </w:r>
      <w:proofErr w:type="spellStart"/>
      <w:r>
        <w:t>световозвращающие</w:t>
      </w:r>
      <w:proofErr w:type="spellEnd"/>
      <w:r>
        <w:t xml:space="preserve"> приспособления любого цвета, кроме белого, а сзади - фонари заднего хода и освещения государственного регистрационного знака с огнями любого цвета, кроме белого, и иные световые приборы с огнями любого цвета, кроме красного, желтого или оранжевого, а также </w:t>
      </w:r>
      <w:proofErr w:type="spellStart"/>
      <w:r>
        <w:t>световозвращающие</w:t>
      </w:r>
      <w:proofErr w:type="spellEnd"/>
      <w:r>
        <w:t xml:space="preserve"> приспособления любого цвета, кроме красного.</w:t>
      </w:r>
      <w:proofErr w:type="gramEnd"/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  <w:outlineLvl w:val="1"/>
      </w:pPr>
      <w:r>
        <w:t>IV. Стеклоочистители и стеклоомыватели ветрового стекла</w:t>
      </w: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  <w:r>
        <w:t>15. Не работают или отсутствуют предусмотренные конструкцией самоходной машины стеклоочистители и стеклоомыватели.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  <w:outlineLvl w:val="1"/>
      </w:pPr>
      <w:r>
        <w:t>V. Колеса и шины</w:t>
      </w:r>
    </w:p>
    <w:p w:rsidR="004D0FD6" w:rsidRDefault="004D0FD6">
      <w:pPr>
        <w:pStyle w:val="ConsPlusNormal"/>
        <w:ind w:firstLine="540"/>
        <w:jc w:val="both"/>
      </w:pPr>
    </w:p>
    <w:p w:rsidR="004D0FD6" w:rsidRDefault="004D0FD6">
      <w:pPr>
        <w:pStyle w:val="ConsPlusNormal"/>
        <w:ind w:firstLine="540"/>
        <w:jc w:val="both"/>
      </w:pPr>
      <w:r>
        <w:t xml:space="preserve">16. Остаточная высота </w:t>
      </w:r>
      <w:proofErr w:type="spellStart"/>
      <w:r>
        <w:t>почвозацепов</w:t>
      </w:r>
      <w:proofErr w:type="spellEnd"/>
      <w:r>
        <w:t xml:space="preserve"> (рисунка протектора) составляет менее: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ведущих колес: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5 миллиметров - для тракторов тягового класса до 2 тонн включительно;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10 миллиметров - для тракторов тягового класса 3 тонны и выше;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управляемых колес: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 миллиметров - для тракторов тягового класса до 2 тонн включительно;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10 миллиметров - для тракторов тягового класса 3 тонны и выше;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колес прицепов - 1 миллиметра;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самоходных машин на гусеничном ходу - 7 миллиметров.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17. Шины имеют внешние повреждения (пробои, порезы, разрывы), обнажающие корд, а </w:t>
      </w:r>
      <w:r>
        <w:lastRenderedPageBreak/>
        <w:t>также расслоение каркаса, отслоение протектора и боковины.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18. Имеются трещины диска колеса.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19. Отсутствуют болт, шпилька (гайка) крепления диска колес к ступице, имеются видимые нарушения формы и размеров крепежных отверстий.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20. Шины, установленные на одной оси самоходной машины, прицепа (полуприцепа) к самоходной машине, а также прицепного агрегата, орудия и оборудования, имеют разный типоразмер, рисунок протектора или не соответствуют типу шин, которые установлены заводом-изготовителем.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  <w:outlineLvl w:val="1"/>
      </w:pPr>
      <w:r>
        <w:t>VI. Двигатель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Normal"/>
        <w:ind w:firstLine="540"/>
        <w:jc w:val="both"/>
      </w:pPr>
      <w:r>
        <w:t xml:space="preserve">21. Содержание вредных веществ в отработавших газах и их </w:t>
      </w:r>
      <w:proofErr w:type="spellStart"/>
      <w:r>
        <w:t>дымность</w:t>
      </w:r>
      <w:proofErr w:type="spellEnd"/>
      <w:r>
        <w:t xml:space="preserve"> превышают величины, установленные </w:t>
      </w:r>
      <w:hyperlink r:id="rId5">
        <w:r>
          <w:rPr>
            <w:color w:val="0000FF"/>
          </w:rPr>
          <w:t>ГОСТ 17.2.2.02-98</w:t>
        </w:r>
      </w:hyperlink>
      <w:r>
        <w:t xml:space="preserve"> "Межгосударственный стандарт. Охрана природы. Атмосфера. Нормы и методы определения </w:t>
      </w:r>
      <w:proofErr w:type="spellStart"/>
      <w:r>
        <w:t>дымности</w:t>
      </w:r>
      <w:proofErr w:type="spellEnd"/>
      <w:r>
        <w:t xml:space="preserve"> отработавших газов дизелей тракторов и самоходных сельскохозяйственных машин" или </w:t>
      </w:r>
      <w:hyperlink r:id="rId6">
        <w:r>
          <w:rPr>
            <w:color w:val="0000FF"/>
          </w:rPr>
          <w:t>пунктом 14</w:t>
        </w:r>
      </w:hyperlink>
      <w:r>
        <w:t xml:space="preserve"> приложения 5 к техническому регламенту Таможенного союза "О безопасности сельскохозяйственных и лесохозяйственных тракторов и прицепов к ним" (</w:t>
      </w:r>
      <w:proofErr w:type="gramStart"/>
      <w:r>
        <w:t>ТР</w:t>
      </w:r>
      <w:proofErr w:type="gramEnd"/>
      <w:r>
        <w:t xml:space="preserve"> ТС 031/2012), принятому решением Совета Евразийской экономической комиссии от 20 июля 2012 г. N 60.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22. Содержание загрязняющих веществ в отработавших газах при минимальной устойчивой частоте вращения коленчатого вала двигателя снегоходов, четырехколесных внедорожных </w:t>
      </w:r>
      <w:proofErr w:type="spellStart"/>
      <w:r>
        <w:t>мототранспортных</w:t>
      </w:r>
      <w:proofErr w:type="spellEnd"/>
      <w:r>
        <w:t xml:space="preserve"> средств и </w:t>
      </w:r>
      <w:proofErr w:type="spellStart"/>
      <w:r>
        <w:t>снегоболотоходов</w:t>
      </w:r>
      <w:proofErr w:type="spellEnd"/>
      <w:r>
        <w:t xml:space="preserve"> превышает 4,5 процента (в объемных долях).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23. Нарушена герметичность системы питания.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24. Неисправна система выпуска отработавших газов.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Title"/>
        <w:jc w:val="center"/>
        <w:outlineLvl w:val="1"/>
      </w:pPr>
      <w:r>
        <w:t>VII. Прочие элементы конструкции</w:t>
      </w:r>
    </w:p>
    <w:p w:rsidR="004D0FD6" w:rsidRDefault="004D0FD6">
      <w:pPr>
        <w:pStyle w:val="ConsPlusNormal"/>
        <w:jc w:val="center"/>
      </w:pPr>
    </w:p>
    <w:p w:rsidR="004D0FD6" w:rsidRDefault="004D0FD6">
      <w:pPr>
        <w:pStyle w:val="ConsPlusNormal"/>
        <w:ind w:firstLine="540"/>
        <w:jc w:val="both"/>
      </w:pPr>
      <w:r>
        <w:t>25. Не работает звуковой сигнал.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26. Неисправно опорно-сцепное устройство, или отсутствуют предусмотренные конструкцией тягача и прицепного звена страховочные тросы (цепи).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27. Отсутствуют или не работают фиксаторы транспортного положения опор, предназначенные для предотвращения самопроизвольного опускания навесного или полунавесного оборудования.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28. Отсутствуют либо являются треснутыми ветровое стекло и (или) зеркало, предусмотренные конструкцией самоходной машины.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29. Установлены дополнительные предметы, или нанесены покрытия, ограничивающие обзорность с места водителя.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30. Отсутствуют ремни безопасности, если их установка предусмотрена заводом-изготовителем.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31. Движущиеся, вращающиеся части самоходной машины (карданные, цепные, ременные, зубчатые передачи и т.д.) не ограждены защитными кожухами, обеспечивающими безопасность обслуживающего персонала. Защитные кожухи в открытом положении не имеют сигнальной окраски.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Отсутствуют медицинская аптечка, и (или) первичные средства пожаротушения, и (или) </w:t>
      </w:r>
      <w:r>
        <w:lastRenderedPageBreak/>
        <w:t>противооткатные устройства (для колесных тракторов, самоходных дорожно-строительных, самоходных сельскохозяйственных машин, прицепов и полуприцепов).</w:t>
      </w:r>
      <w:proofErr w:type="gramEnd"/>
    </w:p>
    <w:p w:rsidR="004D0FD6" w:rsidRDefault="004D0FD6">
      <w:pPr>
        <w:pStyle w:val="ConsPlusNormal"/>
        <w:spacing w:before="220"/>
        <w:ind w:firstLine="540"/>
        <w:jc w:val="both"/>
      </w:pPr>
      <w:r>
        <w:t>33. Отсутствует государственный регистрационный знак.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 xml:space="preserve">34. Государственный знак не соответствует </w:t>
      </w:r>
      <w:hyperlink r:id="rId7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50577-2018</w:t>
        </w:r>
      </w:hyperlink>
      <w:r>
        <w:t xml:space="preserve"> "Национальный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требования" либо ГОСТам на государственные регистрационные знаки, действовавшим на момент регистрации самоходных машин и других видов техники.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35. Отсутствуют поддерживающие или опорные катки гусеничной ходовой части.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36. Наличие трещин и изломов в звеньях гусеничной цепи.</w:t>
      </w:r>
    </w:p>
    <w:p w:rsidR="004D0FD6" w:rsidRDefault="004D0FD6">
      <w:pPr>
        <w:pStyle w:val="ConsPlusNormal"/>
        <w:spacing w:before="220"/>
        <w:ind w:firstLine="540"/>
        <w:jc w:val="both"/>
      </w:pPr>
      <w:r>
        <w:t>37. Предусмотренное конструкцией самоходной машины устройство, исключающее возможность запуска двигателя при включенной передаче, находится в неработоспособном состоянии или отсутствует.</w:t>
      </w:r>
    </w:p>
    <w:p w:rsidR="004D0FD6" w:rsidRDefault="004D0FD6">
      <w:pPr>
        <w:pStyle w:val="ConsPlusNormal"/>
        <w:jc w:val="both"/>
      </w:pPr>
    </w:p>
    <w:p w:rsidR="004D0FD6" w:rsidRDefault="004D0FD6">
      <w:pPr>
        <w:pStyle w:val="ConsPlusNormal"/>
        <w:jc w:val="both"/>
      </w:pPr>
    </w:p>
    <w:p w:rsidR="004D0FD6" w:rsidRDefault="004D0F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CF1" w:rsidRDefault="00830CF1"/>
    <w:sectPr w:rsidR="00830CF1" w:rsidSect="009E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D6"/>
    <w:rsid w:val="00165717"/>
    <w:rsid w:val="004D0FD6"/>
    <w:rsid w:val="005327E7"/>
    <w:rsid w:val="008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0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0F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0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0F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60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8421&amp;dst=1277" TargetMode="External"/><Relationship Id="rId5" Type="http://schemas.openxmlformats.org/officeDocument/2006/relationships/hyperlink" Target="https://login.consultant.ru/link/?req=doc&amp;base=OTN&amp;n=18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</cp:revision>
  <dcterms:created xsi:type="dcterms:W3CDTF">2025-05-28T13:21:00Z</dcterms:created>
  <dcterms:modified xsi:type="dcterms:W3CDTF">2025-05-28T13:22:00Z</dcterms:modified>
</cp:coreProperties>
</file>